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82C00">
        <w:rPr>
          <w:rFonts w:ascii="Times New Roman" w:hAnsi="Times New Roman"/>
          <w:sz w:val="28"/>
          <w:szCs w:val="28"/>
        </w:rPr>
        <w:t xml:space="preserve"> № 116/1.0-11</w:t>
      </w:r>
    </w:p>
    <w:p w:rsidR="008D375A" w:rsidRPr="000527F5"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0527F5">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0527F5">
        <w:rPr>
          <w:rFonts w:ascii="Times New Roman" w:hAnsi="Times New Roman"/>
          <w:sz w:val="28"/>
          <w:szCs w:val="28"/>
        </w:rPr>
        <w:t xml:space="preserve"> сфере </w:t>
      </w:r>
      <w:r w:rsidR="000527F5" w:rsidRPr="000527F5">
        <w:rPr>
          <w:rFonts w:ascii="Times New Roman" w:hAnsi="Times New Roman"/>
          <w:sz w:val="28"/>
          <w:szCs w:val="28"/>
        </w:rPr>
        <w:t>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C26486" w:rsidRPr="000527F5">
        <w:rPr>
          <w:rFonts w:ascii="Times New Roman" w:hAnsi="Times New Roman"/>
          <w:sz w:val="28"/>
          <w:szCs w:val="28"/>
        </w:rPr>
        <w:t xml:space="preserve"> </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782C00">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782C00">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6C4DE7">
        <w:rPr>
          <w:rFonts w:ascii="Times New Roman" w:hAnsi="Times New Roman"/>
          <w:sz w:val="28"/>
          <w:szCs w:val="28"/>
        </w:rPr>
        <w:t>а</w:t>
      </w:r>
      <w:r w:rsidR="00BC5C09">
        <w:rPr>
          <w:rFonts w:ascii="Times New Roman" w:hAnsi="Times New Roman"/>
          <w:sz w:val="28"/>
          <w:szCs w:val="28"/>
        </w:rPr>
        <w:t xml:space="preserve"> 2018</w:t>
      </w:r>
      <w:r w:rsidR="006C4DE7">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6C4DE7">
        <w:rPr>
          <w:rFonts w:ascii="Times New Roman" w:hAnsi="Times New Roman"/>
          <w:sz w:val="28"/>
          <w:szCs w:val="28"/>
        </w:rPr>
        <w:t xml:space="preserve">области от </w:t>
      </w:r>
      <w:r w:rsidR="006C4DE7" w:rsidRPr="001D149F">
        <w:rPr>
          <w:rFonts w:ascii="Times New Roman" w:hAnsi="Times New Roman"/>
          <w:sz w:val="28"/>
          <w:szCs w:val="28"/>
        </w:rPr>
        <w:t xml:space="preserve">27.07.2017 года </w:t>
      </w:r>
      <w:r w:rsidR="006C4DE7">
        <w:rPr>
          <w:rFonts w:ascii="Times New Roman" w:hAnsi="Times New Roman"/>
        </w:rPr>
        <w:t xml:space="preserve"> </w:t>
      </w:r>
      <w:r w:rsidR="006C4DE7" w:rsidRPr="001D149F">
        <w:rPr>
          <w:rFonts w:ascii="Times New Roman" w:hAnsi="Times New Roman"/>
          <w:sz w:val="28"/>
          <w:szCs w:val="28"/>
        </w:rPr>
        <w:t>№ 61 «О принятии администрацией МО «Всеволожский муниципальный район» ЛО осуществления части полномочий админ</w:t>
      </w:r>
      <w:r w:rsidR="006C4DE7">
        <w:rPr>
          <w:rFonts w:ascii="Times New Roman" w:hAnsi="Times New Roman"/>
          <w:sz w:val="28"/>
          <w:szCs w:val="28"/>
        </w:rPr>
        <w:t>истрации МО «Город Всеволожск» п</w:t>
      </w:r>
      <w:r w:rsidR="006C4DE7" w:rsidRPr="001D149F">
        <w:rPr>
          <w:rFonts w:ascii="Times New Roman" w:hAnsi="Times New Roman"/>
          <w:sz w:val="28"/>
          <w:szCs w:val="28"/>
        </w:rPr>
        <w:t>о решению вопросов местного значения за счет межбюджетных трансфертов на 2018 год</w:t>
      </w:r>
      <w:r w:rsidR="006C4DE7" w:rsidRPr="00FA33A2">
        <w:rPr>
          <w:rFonts w:ascii="Times New Roman" w:hAnsi="Times New Roman"/>
        </w:rPr>
        <w:t>»</w:t>
      </w:r>
      <w:r w:rsidRPr="002719F4">
        <w:rPr>
          <w:rFonts w:ascii="Times New Roman" w:hAnsi="Times New Roman"/>
          <w:sz w:val="28"/>
          <w:szCs w:val="28"/>
        </w:rPr>
        <w:t>, при совместном упоминании далее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0527F5" w:rsidRPr="000527F5" w:rsidRDefault="008D375A" w:rsidP="000527F5">
      <w:pPr>
        <w:autoSpaceDE w:val="0"/>
        <w:autoSpaceDN w:val="0"/>
        <w:adjustRightInd w:val="0"/>
        <w:spacing w:line="240" w:lineRule="auto"/>
        <w:ind w:firstLine="601"/>
        <w:jc w:val="both"/>
        <w:rPr>
          <w:rFonts w:ascii="Times New Roman" w:hAnsi="Times New Roman"/>
          <w:sz w:val="28"/>
          <w:szCs w:val="28"/>
        </w:rPr>
      </w:pPr>
      <w:r w:rsidRPr="000527F5">
        <w:rPr>
          <w:rFonts w:ascii="Times New Roman" w:hAnsi="Times New Roman"/>
          <w:sz w:val="28"/>
          <w:szCs w:val="28"/>
        </w:rPr>
        <w:t>По настоящему Соглашению администрация МО «Город Всеволожск» передает часть полномочий</w:t>
      </w:r>
      <w:r w:rsidRPr="000527F5">
        <w:rPr>
          <w:rFonts w:ascii="Times New Roman" w:hAnsi="Times New Roman"/>
          <w:color w:val="000000"/>
          <w:spacing w:val="-8"/>
          <w:sz w:val="28"/>
          <w:szCs w:val="28"/>
        </w:rPr>
        <w:t xml:space="preserve"> по решению вопросов местного значения,</w:t>
      </w:r>
      <w:r w:rsidRPr="000527F5">
        <w:rPr>
          <w:rFonts w:ascii="Times New Roman" w:hAnsi="Times New Roman"/>
          <w:sz w:val="28"/>
          <w:szCs w:val="28"/>
        </w:rPr>
        <w:t xml:space="preserve"> а </w:t>
      </w:r>
      <w:r w:rsidRPr="000527F5">
        <w:rPr>
          <w:rFonts w:ascii="Times New Roman" w:hAnsi="Times New Roman"/>
          <w:sz w:val="28"/>
          <w:szCs w:val="28"/>
        </w:rPr>
        <w:lastRenderedPageBreak/>
        <w:t>«Администрация района»</w:t>
      </w:r>
      <w:r w:rsidR="00CE660B" w:rsidRPr="000527F5">
        <w:rPr>
          <w:rFonts w:ascii="Times New Roman" w:hAnsi="Times New Roman"/>
          <w:sz w:val="28"/>
          <w:szCs w:val="28"/>
        </w:rPr>
        <w:t xml:space="preserve"> </w:t>
      </w:r>
      <w:r w:rsidRPr="000527F5">
        <w:rPr>
          <w:rFonts w:ascii="Times New Roman" w:hAnsi="Times New Roman"/>
          <w:color w:val="000000"/>
          <w:sz w:val="28"/>
          <w:szCs w:val="28"/>
        </w:rPr>
        <w:t>принимает</w:t>
      </w:r>
      <w:r w:rsidRPr="000527F5">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527F5" w:rsidRPr="000527F5">
        <w:rPr>
          <w:rFonts w:ascii="Times New Roman" w:hAnsi="Times New Roman"/>
          <w:color w:val="000000"/>
          <w:spacing w:val="-8"/>
          <w:sz w:val="28"/>
          <w:szCs w:val="28"/>
        </w:rPr>
        <w:t xml:space="preserve"> </w:t>
      </w:r>
      <w:r w:rsidR="000527F5" w:rsidRPr="000527F5">
        <w:rPr>
          <w:rFonts w:ascii="Times New Roman" w:hAnsi="Times New Roman"/>
          <w:sz w:val="28"/>
          <w:szCs w:val="28"/>
        </w:rPr>
        <w:t xml:space="preserve">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том числе: </w:t>
      </w:r>
    </w:p>
    <w:p w:rsidR="000527F5" w:rsidRPr="000527F5" w:rsidRDefault="000527F5" w:rsidP="000527F5">
      <w:pPr>
        <w:autoSpaceDE w:val="0"/>
        <w:autoSpaceDN w:val="0"/>
        <w:adjustRightInd w:val="0"/>
        <w:spacing w:line="240" w:lineRule="auto"/>
        <w:ind w:firstLine="601"/>
        <w:jc w:val="both"/>
        <w:rPr>
          <w:rFonts w:ascii="Times New Roman" w:hAnsi="Times New Roman"/>
          <w:sz w:val="28"/>
          <w:szCs w:val="28"/>
        </w:rPr>
      </w:pPr>
      <w:r w:rsidRPr="000527F5">
        <w:rPr>
          <w:rFonts w:ascii="Times New Roman" w:hAnsi="Times New Roman"/>
          <w:sz w:val="28"/>
          <w:szCs w:val="28"/>
        </w:rPr>
        <w:t xml:space="preserve"> Полномочия в сфере укрепления единства многонационального народа Российской Федерации, гармонизации межнациональных отношений и этнокультурного развития народов Российской Федерации на территории МО «Город Всеволожск». </w:t>
      </w:r>
    </w:p>
    <w:p w:rsidR="000527F5" w:rsidRPr="00AE436E" w:rsidRDefault="000527F5" w:rsidP="000527F5">
      <w:pPr>
        <w:autoSpaceDE w:val="0"/>
        <w:autoSpaceDN w:val="0"/>
        <w:adjustRightInd w:val="0"/>
        <w:spacing w:line="240" w:lineRule="auto"/>
        <w:ind w:firstLine="601"/>
        <w:jc w:val="both"/>
        <w:rPr>
          <w:sz w:val="28"/>
          <w:szCs w:val="28"/>
        </w:rPr>
      </w:pPr>
      <w:r w:rsidRPr="000527F5">
        <w:rPr>
          <w:rFonts w:ascii="Times New Roman" w:hAnsi="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p>
    <w:p w:rsidR="000527F5" w:rsidRPr="00C26486" w:rsidRDefault="000527F5" w:rsidP="000527F5">
      <w:pPr>
        <w:autoSpaceDE w:val="0"/>
        <w:autoSpaceDN w:val="0"/>
        <w:adjustRightInd w:val="0"/>
        <w:spacing w:line="240" w:lineRule="auto"/>
        <w:ind w:firstLine="601"/>
        <w:jc w:val="both"/>
        <w:rPr>
          <w:rFonts w:ascii="Times New Roman" w:hAnsi="Times New Roman"/>
          <w:sz w:val="28"/>
          <w:szCs w:val="28"/>
        </w:rPr>
      </w:pPr>
    </w:p>
    <w:p w:rsidR="008D375A" w:rsidRPr="002D730B" w:rsidRDefault="008D375A" w:rsidP="000527F5">
      <w:pPr>
        <w:autoSpaceDE w:val="0"/>
        <w:autoSpaceDN w:val="0"/>
        <w:adjustRightInd w:val="0"/>
        <w:spacing w:line="240" w:lineRule="auto"/>
        <w:jc w:val="both"/>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осуществляется ежемесячно</w:t>
      </w:r>
      <w:r w:rsidR="00661A17">
        <w:rPr>
          <w:rFonts w:ascii="Times New Roman" w:hAnsi="Times New Roman"/>
          <w:color w:val="000000"/>
          <w:sz w:val="28"/>
          <w:szCs w:val="28"/>
        </w:rPr>
        <w:t xml:space="preserve"> до 30 числа </w:t>
      </w:r>
      <w:r w:rsidR="00EF4F81">
        <w:rPr>
          <w:rFonts w:ascii="Times New Roman" w:hAnsi="Times New Roman"/>
          <w:color w:val="000000"/>
          <w:sz w:val="28"/>
          <w:szCs w:val="28"/>
        </w:rPr>
        <w:t xml:space="preserve"> 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Pr="00F0741A" w:rsidRDefault="008D375A" w:rsidP="00B05942">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r w:rsidR="00B05942">
        <w:rPr>
          <w:rFonts w:ascii="Times New Roman" w:hAnsi="Times New Roman"/>
          <w:color w:val="000000"/>
          <w:spacing w:val="-4"/>
          <w:sz w:val="28"/>
          <w:szCs w:val="28"/>
        </w:rPr>
        <w:t xml:space="preserve">    </w:t>
      </w:r>
    </w:p>
    <w:p w:rsidR="008D375A" w:rsidRPr="00A44FF5" w:rsidRDefault="008D375A" w:rsidP="00C37032">
      <w:pPr>
        <w:shd w:val="clear" w:color="auto" w:fill="FFFFFF"/>
        <w:spacing w:after="0" w:line="240" w:lineRule="auto"/>
        <w:ind w:firstLine="699"/>
        <w:jc w:val="both"/>
        <w:rPr>
          <w:rFonts w:ascii="Times New Roman" w:hAnsi="Times New Roman"/>
          <w:color w:val="FF0000"/>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proofErr w:type="gramStart"/>
      <w:r w:rsidRPr="00166871">
        <w:rPr>
          <w:rFonts w:ascii="Times New Roman" w:hAnsi="Times New Roman"/>
          <w:color w:val="000000"/>
          <w:spacing w:val="-4"/>
          <w:sz w:val="28"/>
          <w:szCs w:val="28"/>
        </w:rPr>
        <w:t>на</w:t>
      </w:r>
      <w:r w:rsidR="00B05942">
        <w:rPr>
          <w:rFonts w:ascii="Times New Roman" w:hAnsi="Times New Roman"/>
          <w:color w:val="000000"/>
          <w:spacing w:val="-4"/>
          <w:sz w:val="28"/>
          <w:szCs w:val="28"/>
        </w:rPr>
        <w:t xml:space="preserve">  укрепление</w:t>
      </w:r>
      <w:proofErr w:type="gramEnd"/>
      <w:r w:rsidR="00B05942">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w:t>
      </w:r>
      <w:r w:rsidRPr="00007464">
        <w:rPr>
          <w:rFonts w:ascii="Times New Roman" w:hAnsi="Times New Roman"/>
          <w:color w:val="000000"/>
          <w:spacing w:val="-8"/>
          <w:sz w:val="28"/>
          <w:szCs w:val="28"/>
        </w:rPr>
        <w:lastRenderedPageBreak/>
        <w:t xml:space="preserve">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случае неисполнения Администрацией МО «Город </w:t>
      </w:r>
      <w:r w:rsidRPr="00FF7D10">
        <w:rPr>
          <w:rFonts w:ascii="Times New Roman" w:hAnsi="Times New Roman"/>
          <w:color w:val="000000"/>
          <w:sz w:val="28"/>
          <w:szCs w:val="28"/>
        </w:rPr>
        <w:lastRenderedPageBreak/>
        <w:t>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B05942">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 xml:space="preserve">_________________Фролова </w:t>
            </w:r>
            <w:proofErr w:type="gramStart"/>
            <w:r>
              <w:rPr>
                <w:rFonts w:ascii="Times New Roman" w:hAnsi="Times New Roman"/>
                <w:color w:val="000000"/>
                <w:spacing w:val="-4"/>
                <w:sz w:val="28"/>
                <w:szCs w:val="28"/>
              </w:rPr>
              <w:t>М.А.</w:t>
            </w:r>
            <w:r w:rsidR="008D375A" w:rsidRPr="000A2FFC">
              <w:rPr>
                <w:rFonts w:ascii="Times New Roman" w:hAnsi="Times New Roman"/>
                <w:color w:val="000000"/>
                <w:spacing w:val="-4"/>
                <w:sz w:val="28"/>
                <w:szCs w:val="28"/>
              </w:rPr>
              <w:t>.</w:t>
            </w:r>
            <w:proofErr w:type="gramEnd"/>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6C4DE7">
        <w:rPr>
          <w:rFonts w:ascii="Times New Roman" w:hAnsi="Times New Roman"/>
        </w:rPr>
        <w:t>а</w:t>
      </w:r>
      <w:r>
        <w:rPr>
          <w:rFonts w:ascii="Times New Roman" w:hAnsi="Times New Roman"/>
        </w:rPr>
        <w:t xml:space="preserve"> 2018</w:t>
      </w:r>
      <w:r w:rsidR="006C4DE7">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 </w:t>
      </w:r>
      <w:r w:rsidR="006C4DE7" w:rsidRPr="001D149F">
        <w:rPr>
          <w:rFonts w:ascii="Times New Roman" w:hAnsi="Times New Roman"/>
        </w:rPr>
        <w:t xml:space="preserve">27.07.2017 года </w:t>
      </w:r>
      <w:r w:rsidR="006C4DE7">
        <w:rPr>
          <w:rFonts w:ascii="Times New Roman" w:hAnsi="Times New Roman"/>
        </w:rPr>
        <w:t xml:space="preserve"> </w:t>
      </w:r>
      <w:r w:rsidR="006C4DE7" w:rsidRPr="001D149F">
        <w:rPr>
          <w:rFonts w:ascii="Times New Roman" w:hAnsi="Times New Roman"/>
        </w:rPr>
        <w:t>№ 61 «О принятии администрацией МО «Всеволожский муниципальный район» ЛО осуществления части полномочий админ</w:t>
      </w:r>
      <w:r w:rsidR="006C4DE7">
        <w:rPr>
          <w:rFonts w:ascii="Times New Roman" w:hAnsi="Times New Roman"/>
        </w:rPr>
        <w:t>истрации МО «Город Всеволожск» п</w:t>
      </w:r>
      <w:r w:rsidR="006C4DE7" w:rsidRPr="001D149F">
        <w:rPr>
          <w:rFonts w:ascii="Times New Roman" w:hAnsi="Times New Roman"/>
        </w:rPr>
        <w:t>о решению вопросов местного значения за счет межбюджетных трансфертов на 2018 год</w:t>
      </w:r>
      <w:r w:rsidR="006C4DE7" w:rsidRPr="00FA33A2">
        <w:rPr>
          <w:rFonts w:ascii="Times New Roman" w:hAnsi="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2D730B" w:rsidRPr="00C26486">
        <w:rPr>
          <w:rFonts w:ascii="Times New Roman" w:hAnsi="Times New Roman" w:cs="Times New Roman"/>
        </w:rPr>
        <w:t xml:space="preserve"> </w:t>
      </w:r>
      <w:r w:rsidR="000527F5" w:rsidRPr="000527F5">
        <w:rPr>
          <w:rFonts w:ascii="Times New Roman" w:hAnsi="Times New Roman" w:cs="Times New Roman"/>
        </w:rPr>
        <w:t>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0527F5">
        <w:rPr>
          <w:rFonts w:ascii="Times New Roman" w:hAnsi="Times New Roman" w:cs="Times New Roman"/>
        </w:rPr>
        <w:t xml:space="preserve"> </w:t>
      </w:r>
      <w:r w:rsidRPr="00C26486">
        <w:rPr>
          <w:rFonts w:ascii="Times New Roman" w:hAnsi="Times New Roman" w:cs="Times New Roman"/>
        </w:rPr>
        <w:t>за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A2FFC"/>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81EE5"/>
    <w:rsid w:val="0029456E"/>
    <w:rsid w:val="0029501A"/>
    <w:rsid w:val="002A231F"/>
    <w:rsid w:val="002B6FB3"/>
    <w:rsid w:val="002C4EFA"/>
    <w:rsid w:val="002D730B"/>
    <w:rsid w:val="00322564"/>
    <w:rsid w:val="00323F17"/>
    <w:rsid w:val="003E3545"/>
    <w:rsid w:val="00410451"/>
    <w:rsid w:val="00476C79"/>
    <w:rsid w:val="004B093B"/>
    <w:rsid w:val="004D650F"/>
    <w:rsid w:val="0051399D"/>
    <w:rsid w:val="00515304"/>
    <w:rsid w:val="00524D5F"/>
    <w:rsid w:val="00557458"/>
    <w:rsid w:val="005C4AE3"/>
    <w:rsid w:val="00652382"/>
    <w:rsid w:val="00661A17"/>
    <w:rsid w:val="006A41C1"/>
    <w:rsid w:val="006C4DE7"/>
    <w:rsid w:val="006D0A10"/>
    <w:rsid w:val="00725D3C"/>
    <w:rsid w:val="0072741D"/>
    <w:rsid w:val="007348F6"/>
    <w:rsid w:val="00782C00"/>
    <w:rsid w:val="007E3034"/>
    <w:rsid w:val="007E7AF0"/>
    <w:rsid w:val="00813C43"/>
    <w:rsid w:val="0085300B"/>
    <w:rsid w:val="00855E97"/>
    <w:rsid w:val="008C4252"/>
    <w:rsid w:val="008D375A"/>
    <w:rsid w:val="00915236"/>
    <w:rsid w:val="00916F76"/>
    <w:rsid w:val="0093028B"/>
    <w:rsid w:val="009641B0"/>
    <w:rsid w:val="00987AC0"/>
    <w:rsid w:val="009972E0"/>
    <w:rsid w:val="009A0D5A"/>
    <w:rsid w:val="009D32BD"/>
    <w:rsid w:val="009E1BED"/>
    <w:rsid w:val="009F13AA"/>
    <w:rsid w:val="00A44FF5"/>
    <w:rsid w:val="00AD0A94"/>
    <w:rsid w:val="00AD2FF3"/>
    <w:rsid w:val="00AE6950"/>
    <w:rsid w:val="00AF069F"/>
    <w:rsid w:val="00AF3B5E"/>
    <w:rsid w:val="00B05942"/>
    <w:rsid w:val="00B23F73"/>
    <w:rsid w:val="00B766C8"/>
    <w:rsid w:val="00B93671"/>
    <w:rsid w:val="00BA55DB"/>
    <w:rsid w:val="00BC5C09"/>
    <w:rsid w:val="00C15F0A"/>
    <w:rsid w:val="00C26486"/>
    <w:rsid w:val="00C33B83"/>
    <w:rsid w:val="00C37032"/>
    <w:rsid w:val="00C4636F"/>
    <w:rsid w:val="00C826AE"/>
    <w:rsid w:val="00C8338C"/>
    <w:rsid w:val="00CA2DF9"/>
    <w:rsid w:val="00CE2700"/>
    <w:rsid w:val="00CE660B"/>
    <w:rsid w:val="00CF0618"/>
    <w:rsid w:val="00CF4687"/>
    <w:rsid w:val="00D01802"/>
    <w:rsid w:val="00D0550C"/>
    <w:rsid w:val="00DA3CA3"/>
    <w:rsid w:val="00DA5675"/>
    <w:rsid w:val="00DB43E7"/>
    <w:rsid w:val="00E43722"/>
    <w:rsid w:val="00EF261D"/>
    <w:rsid w:val="00EF4F81"/>
    <w:rsid w:val="00F0741A"/>
    <w:rsid w:val="00F326C1"/>
    <w:rsid w:val="00F37624"/>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1C01C-6AEE-4A12-BBC2-B6BCF0A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13</cp:revision>
  <cp:lastPrinted>2017-06-08T09:49:00Z</cp:lastPrinted>
  <dcterms:created xsi:type="dcterms:W3CDTF">2017-08-08T11:25:00Z</dcterms:created>
  <dcterms:modified xsi:type="dcterms:W3CDTF">2017-09-06T11:54:00Z</dcterms:modified>
</cp:coreProperties>
</file>